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774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4693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46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сентября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Югры </w:t>
      </w:r>
      <w:r>
        <w:rPr>
          <w:rFonts w:ascii="Times New Roman" w:eastAsia="Times New Roman" w:hAnsi="Times New Roman" w:cs="Times New Roman"/>
          <w:sz w:val="27"/>
          <w:szCs w:val="27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д. 13,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7"/>
          <w:szCs w:val="27"/>
        </w:rPr>
      </w:pPr>
      <w:r>
        <w:rPr>
          <w:rStyle w:val="cat-UserDefinedgrp-37rplc-9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административные правонарушения, предусмотренные Главой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Style w:val="cat-UserDefinedgrp-38rplc-14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совершении обгона впереди движущегося транспортного средства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выехал на полосу дороги, предназначенную для встречного движения </w:t>
      </w:r>
      <w:r>
        <w:rPr>
          <w:rFonts w:ascii="Times New Roman" w:eastAsia="Times New Roman" w:hAnsi="Times New Roman" w:cs="Times New Roman"/>
          <w:sz w:val="27"/>
          <w:szCs w:val="27"/>
        </w:rPr>
        <w:t>в зоне действия дорожного знака 3.20 «Обгон запрещен», чем нарушил п. 1.3 Правил дорожного движения РФ.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ходатайству </w:t>
      </w:r>
      <w:r>
        <w:rPr>
          <w:rStyle w:val="cat-UserDefinedgrp-39rplc-20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определением мирового судьи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Нижневартовского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округа-Югры от 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года, материалы дела были переданы в судебный участок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ХМАО-Югры.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судебный участок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административный материал поступил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>.2025 года.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Style w:val="cat-UserDefinedgrp-39rplc-27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надлежаще извещен о времени и месте рассмотрения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7"/>
          <w:szCs w:val="27"/>
        </w:rPr>
        <w:t>был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 правонарушением согласен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>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9rplc-28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одтверждается совокупностью исследованных судом доказательств: протоколом об административном правонарушении </w:t>
      </w:r>
      <w:r>
        <w:rPr>
          <w:rStyle w:val="cat-UserDefinedgrp-40rplc-30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который составлен уполномоченным должностным лицом на основании ст. 28.3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 выполнением всех требований, предусмотренных ст. 28.2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схемой места совершения административного правонарушения с дислокацией дорожных знаков и дорожной разметки, объяснением </w:t>
      </w:r>
      <w:r>
        <w:rPr>
          <w:rStyle w:val="cat-UserDefinedgrp-39rplc-33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рапортом ИДПС ОР ДПС отдела </w:t>
      </w:r>
      <w:r>
        <w:rPr>
          <w:rFonts w:ascii="Times New Roman" w:eastAsia="Times New Roman" w:hAnsi="Times New Roman" w:cs="Times New Roman"/>
          <w:sz w:val="27"/>
          <w:szCs w:val="27"/>
        </w:rPr>
        <w:t>Госавтоинспекции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ОМВД России по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району, списком нарушений, видеозаписью.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Кодекса Российской Федерации об административных правонарушениях, 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Правила дорожного движения Российской Федерации (утв. Постановление Совета Министров – Правительства РФ от 23 октября </w:t>
      </w:r>
      <w:r>
        <w:rPr>
          <w:rFonts w:ascii="Times New Roman" w:eastAsia="Times New Roman" w:hAnsi="Times New Roman" w:cs="Times New Roman"/>
          <w:sz w:val="27"/>
          <w:szCs w:val="27"/>
        </w:rPr>
        <w:t>1993 г</w:t>
      </w:r>
      <w:r>
        <w:rPr>
          <w:rFonts w:ascii="Times New Roman" w:eastAsia="Times New Roman" w:hAnsi="Times New Roman" w:cs="Times New Roman"/>
          <w:sz w:val="27"/>
          <w:szCs w:val="27"/>
        </w:rPr>
        <w:t>. № 1090), устанавливают единый порядок дорожного движения на всей территории Российской Федерации. Другие нормативные акты, касающиеся дорожного движения, должны основываться на требованиях Правил и не противоречить им.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Правилах используются следующие основные понятия и термины: </w:t>
      </w:r>
      <w:r>
        <w:rPr>
          <w:rFonts w:ascii="Times New Roman" w:eastAsia="Times New Roman" w:hAnsi="Times New Roman" w:cs="Times New Roman"/>
          <w:sz w:val="27"/>
          <w:szCs w:val="27"/>
        </w:rPr>
        <w:t>"Участник дорожного движения"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лицо, принимающее непосредственное участие в процессе движения в качестве водителя, пешехода, пассажира транспортного средства.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Пунктом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1.3 Правил дорожного движения Российской Федерации, установлено, что участники дорожного движения обязаны знать и соблюдать относящиеся к ним требования Правил, знаков и разметки.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Проанализировав указанные доказательства, судья находит вину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Style w:val="cat-UserDefinedgrp-39rplc-38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правонарушения, предусмотренного ч. 4 ст. 12.15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выезд в нарушение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Правил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дорожного движения на полосу, предназначенную для встречного движения, за исключением случаев, предусмотренных </w:t>
      </w:r>
      <w:hyperlink w:anchor="sub_1215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установленной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доказанной.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UserDefinedgrp-39rplc-41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квалифицирует по ч. 4 ст. 12.15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выезд в нарушение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Правил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дорожного движения на полосу, предназначенную для встречного движения.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4 ст. 12.15 Кодекса Российской федерации об административных правонарушениях выезд в нарушение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Правил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дорожного движения на полосу, предназначенную для встречного движения, за исключением случаев, предусмотренных </w:t>
      </w:r>
      <w:hyperlink w:anchor="sub_1215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- </w:t>
      </w:r>
      <w:r>
        <w:rPr>
          <w:rFonts w:ascii="Times New Roman" w:eastAsia="Times New Roman" w:hAnsi="Times New Roman" w:cs="Times New Roman"/>
          <w:sz w:val="27"/>
          <w:szCs w:val="27"/>
        </w:rPr>
        <w:t>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 на основании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 суд учитывает характер и степень опасности правонарушения, связанного с источником повышенной опасности, данные о личности лица, привлекаемого к административной ответственности, наличие отягчающего обстоятельства и приходит к выводу о возможности назначить наказание в виде административного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29.7-29.11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Style w:val="cat-UserDefinedgrp-41rplc-44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 4 ст. 12.15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и подвергнуть наказанию в виде административного штрафа в размере 7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500.00 /семь тысяч пятьсот/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Style w:val="cat-UserDefinedgrp-42rplc-46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 на банковские реквизиты: Получатель платежа УФК по Ханты-Мансийскому автономному округу - Югре (УМВД России по ХМАО – Югре), ИНН: </w:t>
      </w:r>
      <w:r>
        <w:rPr>
          <w:rFonts w:ascii="Times New Roman" w:eastAsia="Times New Roman" w:hAnsi="Times New Roman" w:cs="Times New Roman"/>
          <w:sz w:val="27"/>
          <w:szCs w:val="27"/>
        </w:rPr>
        <w:t>8601010390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КПП: 860101001, № счета: </w:t>
      </w:r>
      <w:r>
        <w:rPr>
          <w:rFonts w:ascii="Times New Roman" w:eastAsia="Times New Roman" w:hAnsi="Times New Roman" w:cs="Times New Roman"/>
          <w:sz w:val="27"/>
          <w:szCs w:val="27"/>
        </w:rPr>
        <w:t>03100643000000018700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РКЦ Ханты-Мансийск//УФК по ХМАО-Югре г. Ханты-Мансийск,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>./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40102810245370000007, БИК: </w:t>
      </w:r>
      <w:r>
        <w:rPr>
          <w:rFonts w:ascii="Times New Roman" w:eastAsia="Times New Roman" w:hAnsi="Times New Roman" w:cs="Times New Roman"/>
          <w:sz w:val="27"/>
          <w:szCs w:val="27"/>
        </w:rPr>
        <w:t>007162163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ОКТМО: </w:t>
      </w:r>
      <w:r>
        <w:rPr>
          <w:rFonts w:ascii="Times New Roman" w:eastAsia="Times New Roman" w:hAnsi="Times New Roman" w:cs="Times New Roman"/>
          <w:sz w:val="27"/>
          <w:szCs w:val="27"/>
        </w:rPr>
        <w:t>71819000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КБК </w:t>
      </w:r>
      <w:r>
        <w:rPr>
          <w:rFonts w:ascii="Times New Roman" w:eastAsia="Times New Roman" w:hAnsi="Times New Roman" w:cs="Times New Roman"/>
          <w:sz w:val="27"/>
          <w:szCs w:val="27"/>
        </w:rPr>
        <w:t>18811601123010001140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z w:val="27"/>
          <w:szCs w:val="27"/>
        </w:rPr>
        <w:t>18810486250280016059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наименование платежа 05-0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774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/1505/2025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>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С.В. </w:t>
      </w:r>
      <w:r>
        <w:rPr>
          <w:rFonts w:ascii="Times New Roman" w:eastAsia="Times New Roman" w:hAnsi="Times New Roman" w:cs="Times New Roman"/>
          <w:sz w:val="27"/>
          <w:szCs w:val="27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8rplc-14">
    <w:name w:val="cat-UserDefined grp-38 rplc-14"/>
    <w:basedOn w:val="DefaultParagraphFont"/>
  </w:style>
  <w:style w:type="character" w:customStyle="1" w:styleId="cat-UserDefinedgrp-39rplc-20">
    <w:name w:val="cat-UserDefined grp-39 rplc-20"/>
    <w:basedOn w:val="DefaultParagraphFont"/>
  </w:style>
  <w:style w:type="character" w:customStyle="1" w:styleId="cat-UserDefinedgrp-39rplc-27">
    <w:name w:val="cat-UserDefined grp-39 rplc-27"/>
    <w:basedOn w:val="DefaultParagraphFont"/>
  </w:style>
  <w:style w:type="character" w:customStyle="1" w:styleId="cat-UserDefinedgrp-39rplc-28">
    <w:name w:val="cat-UserDefined grp-39 rplc-28"/>
    <w:basedOn w:val="DefaultParagraphFont"/>
  </w:style>
  <w:style w:type="character" w:customStyle="1" w:styleId="cat-UserDefinedgrp-40rplc-30">
    <w:name w:val="cat-UserDefined grp-40 rplc-30"/>
    <w:basedOn w:val="DefaultParagraphFont"/>
  </w:style>
  <w:style w:type="character" w:customStyle="1" w:styleId="cat-UserDefinedgrp-39rplc-33">
    <w:name w:val="cat-UserDefined grp-39 rplc-33"/>
    <w:basedOn w:val="DefaultParagraphFont"/>
  </w:style>
  <w:style w:type="character" w:customStyle="1" w:styleId="cat-UserDefinedgrp-39rplc-38">
    <w:name w:val="cat-UserDefined grp-39 rplc-38"/>
    <w:basedOn w:val="DefaultParagraphFont"/>
  </w:style>
  <w:style w:type="character" w:customStyle="1" w:styleId="cat-UserDefinedgrp-39rplc-41">
    <w:name w:val="cat-UserDefined grp-39 rplc-41"/>
    <w:basedOn w:val="DefaultParagraphFont"/>
  </w:style>
  <w:style w:type="character" w:customStyle="1" w:styleId="cat-UserDefinedgrp-41rplc-44">
    <w:name w:val="cat-UserDefined grp-41 rplc-44"/>
    <w:basedOn w:val="DefaultParagraphFont"/>
  </w:style>
  <w:style w:type="character" w:customStyle="1" w:styleId="cat-UserDefinedgrp-42rplc-46">
    <w:name w:val="cat-UserDefined grp-42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